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2C" w:rsidRDefault="00CA212C" w:rsidP="00CA212C">
      <w:pPr>
        <w:pStyle w:val="Nagwe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12C" w:rsidRPr="00AE57C0" w:rsidRDefault="00CA212C" w:rsidP="00CA212C">
      <w:pPr>
        <w:jc w:val="center"/>
        <w:rPr>
          <w:rFonts w:ascii="Times New Roman" w:hAnsi="Times New Roman" w:cs="Times New Roman"/>
          <w:b/>
        </w:rPr>
      </w:pPr>
      <w:r>
        <w:t xml:space="preserve">                                   </w:t>
      </w:r>
      <w:r w:rsidRPr="00AE57C0">
        <w:rPr>
          <w:rFonts w:ascii="Times New Roman" w:hAnsi="Times New Roman" w:cs="Times New Roman"/>
          <w:b/>
        </w:rPr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V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CA212C" w:rsidRPr="00AE57C0" w:rsidTr="000E5212">
        <w:trPr>
          <w:trHeight w:val="475"/>
        </w:trPr>
        <w:tc>
          <w:tcPr>
            <w:tcW w:w="959" w:type="dxa"/>
          </w:tcPr>
          <w:p w:rsidR="00CA212C" w:rsidRPr="00AE57C0" w:rsidRDefault="00CA212C" w:rsidP="000E5212"/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Systemy dystrybucji w eksporcie</w:t>
            </w:r>
          </w:p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ANNA M. ZARZYCKA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SGH</w:t>
            </w:r>
          </w:p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2008</w:t>
            </w: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Pr="00AE57C0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Transport i spedycja w handlu zagranicznym</w:t>
            </w:r>
          </w:p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Szczepanik</w:t>
            </w:r>
          </w:p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PWE</w:t>
            </w:r>
          </w:p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2002</w:t>
            </w:r>
          </w:p>
          <w:p w:rsidR="00CA212C" w:rsidRPr="00AE57C0" w:rsidRDefault="00CA212C" w:rsidP="000E5212">
            <w:pPr>
              <w:rPr>
                <w:rFonts w:ascii="Times New Roman" w:hAnsi="Times New Roman" w:cs="Times New Roman"/>
              </w:rPr>
            </w:pP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Zagraniczne inwestycje w handlu na rynkach lokalnych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Polskie Wydawnictwo Ekonomiczne 2007</w:t>
            </w: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Prawne i podatkowe aspekty prowadzenia działalności w Specjalnych Strefach Ekonomicznych 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Tałasiecz</w:t>
            </w:r>
          </w:p>
        </w:tc>
        <w:tc>
          <w:tcPr>
            <w:tcW w:w="3415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Wolters Kluwer Polska -ABC</w:t>
            </w: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Prawo gospodarcze i spółek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Katarzyna Czajkowska- Matosiuk</w:t>
            </w:r>
          </w:p>
        </w:tc>
        <w:tc>
          <w:tcPr>
            <w:tcW w:w="3415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Wyd. C.H. Beck 2011</w:t>
            </w:r>
          </w:p>
        </w:tc>
      </w:tr>
      <w:tr w:rsidR="00CA212C" w:rsidRPr="00AE57C0" w:rsidTr="000E5212">
        <w:trPr>
          <w:trHeight w:val="971"/>
        </w:trPr>
        <w:tc>
          <w:tcPr>
            <w:tcW w:w="959" w:type="dxa"/>
          </w:tcPr>
          <w:p w:rsidR="00CA212C" w:rsidRDefault="00CA212C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Prawo podatkowe – część ogólna i szczegółowa </w:t>
            </w:r>
          </w:p>
        </w:tc>
        <w:tc>
          <w:tcPr>
            <w:tcW w:w="3415" w:type="dxa"/>
          </w:tcPr>
          <w:p w:rsidR="00CA212C" w:rsidRPr="00AE57C0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 Gorgol, Beata Kucia-Guściora, Paweł Smoleń, Małgorzata Szustek-Janowska, Wanda Wójtowicz</w:t>
            </w:r>
          </w:p>
        </w:tc>
        <w:tc>
          <w:tcPr>
            <w:tcW w:w="3415" w:type="dxa"/>
          </w:tcPr>
          <w:p w:rsidR="00CA212C" w:rsidRDefault="00CA212C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C.H. Beck 2009</w:t>
            </w:r>
          </w:p>
        </w:tc>
      </w:tr>
    </w:tbl>
    <w:p w:rsidR="00CA212C" w:rsidRDefault="00CA212C" w:rsidP="00CA212C">
      <w:pPr>
        <w:pStyle w:val="Nagwe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546" w:rsidRDefault="00CA212C">
      <w:r>
        <w:t xml:space="preserve">       </w:t>
      </w:r>
    </w:p>
    <w:sectPr w:rsidR="00A86546" w:rsidSect="00CA212C">
      <w:headerReference w:type="default" r:id="rId6"/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8D" w:rsidRDefault="0054538D" w:rsidP="00CA212C">
      <w:pPr>
        <w:spacing w:after="0" w:line="240" w:lineRule="auto"/>
      </w:pPr>
      <w:r>
        <w:separator/>
      </w:r>
    </w:p>
  </w:endnote>
  <w:endnote w:type="continuationSeparator" w:id="0">
    <w:p w:rsidR="0054538D" w:rsidRDefault="0054538D" w:rsidP="00CA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C" w:rsidRDefault="00CA212C" w:rsidP="00CA212C">
    <w:pPr>
      <w:pStyle w:val="Stopka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>Zakup gotowych opracowań, wydawnictw, publikacji niezbędnych do świadczenia usług informacyjnych pro-eksport i pro-biz dofinansowany</w:t>
    </w:r>
    <w:r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Pr="00563636">
      <w:rPr>
        <w:color w:val="808080"/>
        <w:sz w:val="20"/>
        <w:szCs w:val="20"/>
      </w:rPr>
      <w:t>ś</w:t>
    </w:r>
    <w:r w:rsidRPr="00563636">
      <w:rPr>
        <w:rFonts w:ascii="TimesNewRoman" w:hAnsi="TimesNewRoman"/>
        <w:color w:val="808080"/>
        <w:sz w:val="20"/>
        <w:szCs w:val="20"/>
      </w:rPr>
      <w:t>rodk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projektu</w:t>
    </w:r>
    <w:r>
      <w:rPr>
        <w:rFonts w:ascii="TimesNewRoman" w:hAnsi="TimesNewRoman"/>
        <w:color w:val="808080"/>
        <w:sz w:val="20"/>
        <w:szCs w:val="20"/>
      </w:rPr>
      <w:t xml:space="preserve"> systemowego pn.:</w:t>
    </w:r>
    <w:r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Pr="00563636">
      <w:rPr>
        <w:color w:val="808080"/>
        <w:sz w:val="20"/>
        <w:szCs w:val="20"/>
      </w:rPr>
      <w:t>ć</w:t>
    </w:r>
    <w:r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Obs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ugi Inwestor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i Eksporter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w”</w:t>
    </w:r>
    <w:r w:rsidRPr="00563636">
      <w:rPr>
        <w:sz w:val="20"/>
        <w:szCs w:val="20"/>
      </w:rPr>
      <w:t xml:space="preserve"> </w:t>
    </w:r>
    <w:r w:rsidRPr="00563636">
      <w:rPr>
        <w:rFonts w:ascii="TimesNewRoman" w:hAnsi="TimesNewRoman"/>
        <w:color w:val="808080"/>
        <w:sz w:val="20"/>
        <w:szCs w:val="20"/>
      </w:rPr>
      <w:t>w ramach 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 6.2.1 Programu Opera</w:t>
    </w:r>
    <w:r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CA212C" w:rsidRDefault="00CA212C" w:rsidP="00CA212C">
    <w:pPr>
      <w:pStyle w:val="Stopka"/>
    </w:pPr>
    <w:r w:rsidRPr="007D0820">
      <w:drawing>
        <wp:inline distT="0" distB="0" distL="0" distR="0">
          <wp:extent cx="1028700" cy="409575"/>
          <wp:effectExtent l="19050" t="0" r="0" b="0"/>
          <wp:docPr id="20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7D0820">
      <w:drawing>
        <wp:inline distT="0" distB="0" distL="0" distR="0">
          <wp:extent cx="978985" cy="409575"/>
          <wp:effectExtent l="19050" t="0" r="0" b="0"/>
          <wp:docPr id="21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8D" w:rsidRDefault="0054538D" w:rsidP="00CA212C">
      <w:pPr>
        <w:spacing w:after="0" w:line="240" w:lineRule="auto"/>
      </w:pPr>
      <w:r>
        <w:separator/>
      </w:r>
    </w:p>
  </w:footnote>
  <w:footnote w:type="continuationSeparator" w:id="0">
    <w:p w:rsidR="0054538D" w:rsidRDefault="0054538D" w:rsidP="00CA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C" w:rsidRDefault="00CA212C" w:rsidP="00CA212C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D0820">
      <w:drawing>
        <wp:inline distT="0" distB="0" distL="0" distR="0">
          <wp:extent cx="1066800" cy="657225"/>
          <wp:effectExtent l="19050" t="0" r="0" b="0"/>
          <wp:docPr id="22" name="Obraz 7" descr="cid:image002.jpg@01CCB35E.8EDA4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CCB35E.8EDA4A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8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381000" cy="466725"/>
          <wp:effectExtent l="19050" t="0" r="0" b="0"/>
          <wp:wrapSquare wrapText="bothSides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212C" w:rsidRDefault="00CA21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2C"/>
    <w:rsid w:val="00212FA1"/>
    <w:rsid w:val="003F7BFA"/>
    <w:rsid w:val="0054538D"/>
    <w:rsid w:val="00754115"/>
    <w:rsid w:val="00A86546"/>
    <w:rsid w:val="00AF0B5F"/>
    <w:rsid w:val="00B3339F"/>
    <w:rsid w:val="00C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12C"/>
  </w:style>
  <w:style w:type="paragraph" w:styleId="Tekstdymka">
    <w:name w:val="Balloon Text"/>
    <w:basedOn w:val="Normalny"/>
    <w:link w:val="TekstdymkaZnak"/>
    <w:uiPriority w:val="99"/>
    <w:semiHidden/>
    <w:unhideWhenUsed/>
    <w:rsid w:val="00CA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A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12C"/>
  </w:style>
  <w:style w:type="table" w:styleId="Tabela-Siatka">
    <w:name w:val="Table Grid"/>
    <w:basedOn w:val="Standardowy"/>
    <w:uiPriority w:val="59"/>
    <w:rsid w:val="00CA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anewac</dc:creator>
  <cp:keywords/>
  <dc:description/>
  <cp:lastModifiedBy>anewac</cp:lastModifiedBy>
  <cp:revision>1</cp:revision>
  <dcterms:created xsi:type="dcterms:W3CDTF">2012-07-10T12:17:00Z</dcterms:created>
  <dcterms:modified xsi:type="dcterms:W3CDTF">2012-07-10T12:19:00Z</dcterms:modified>
</cp:coreProperties>
</file>